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2022 68 vom 13. November 2023</w:t>
      </w:r>
    </w:p>
    <w:p>
      <w:r>
        <w:t>SZ Gerichte, 2023-11-13, DE</w:t>
      </w:r>
    </w:p>
    <w:p>
      <w:r>
        <w:rPr>
          <w:b/>
        </w:rPr>
        <w:t xml:space="preserve">Quelle: </w:t>
      </w:r>
      <w:r>
        <w:t>https://mcp.opencaselaw.ch/entscheid/sz_gerichte_STK 2022 68</w:t>
      </w:r>
    </w:p>
    <w:p>
      <w:r>
        <w:t>FR: SZ_GERICHTE STK 2022 68 du 13 novembre 2023</w:t>
      </w:r>
    </w:p>
    <w:p>
      <w:r>
        <w:t>IT: SZ_GERICHTE STK 2022 68 del 13 novembre 2023</w:t>
      </w:r>
    </w:p>
    <w:p>
      <w:pPr>
        <w:pStyle w:val="Heading2"/>
      </w:pPr>
      <w:r>
        <w:t>Regeste</w:t>
      </w:r>
    </w:p>
    <w:p>
      <w:r>
        <w:t>mehrfachen betrügerischen Missbrauch einer Datenverarbeitungsanlage | Strafgesetzbuch</w:t>
      </w:r>
    </w:p>
    <w:p>
      <w:pPr>
        <w:pStyle w:val="Heading2"/>
      </w:pPr>
      <w:r>
        <w:t>Erwägungen</w:t>
      </w:r>
    </w:p>
    <w:p>
      <w:r>
        <w:rPr>
          <w:b/>
        </w:rPr>
        <w:t>E. 1</w:t>
      </w:r>
    </w:p>
    <w:p>
      <w:r>
        <w:t>Staatsanwaltschaft, 2. Abteilung, Postfach 1201, Schmiedgasse 21, 6431 Schwyz, Anklagebehörde und Berufungsgegnerin, vertreten durch Staatsanwalt B.________,</w:t>
      </w:r>
    </w:p>
    <w:p>
      <w:r>
        <w:rPr>
          <w:b/>
        </w:rPr>
        <w:t>E. 2</w:t>
      </w:r>
    </w:p>
    <w:p>
      <w:r>
        <w:t>a) Nachdem die Beschuldigte den Rückzug der Berufung bekannt gab, das Berufungsverfahren also abzuschreiben ist, gilt sie bei diesem Verfah- rensausgang als unterliegend (Art. 428 Abs. 1 Satz 2 StPO), weshalb sie die Kosten des Rechtsmittelverfahrens zu tragen hat (Art. 428 Abs. 1 Satz 1 StPO). Die Beschuldigte macht geltend, die Berufungsverhandlung sei zu Unrecht nicht abzitiert worden bzw. sie habe diese begründet verschieben wollen, weshalb dieser Umstand bei der Kostenverlegung zu berücksichtigen sei. b) Es ist somit zu prüfen, ob für das Fernbleiben der Beschuldigten von der Berufungsverhandlung ein genügender Entschuldigungsgrund bestand. Die ausgebliebene Partei hat die entschuldigenden Gründe glaubhaft vorzubrin- gen (Keller, in: Niggli/Heer/Wiprächtiger [Hrsg.], Basler Kommentar, Schwei- zerische Strafprozessordnung, 3. A. 2023, Art. 407 StPO N 1). Die Abwesen- heit ist nicht nur im Falle höherer Gewalt, das heisst objektiver Unmöglichkeit zu erscheinen, gültig entschuldigt, sondern auch im Falle subjektiver Unmög- lichkeit aufgrund der persönlichen Umstände oder eines Irrtums. Dabei hat</w:t>
      </w:r>
    </w:p>
    <w:p>
      <w:r>
        <w:t>Kantonsgericht Schwyz 5 nicht die Beschuldigte zu beweisen, dass sie sich dem Gericht nicht entziehen wollte. Vielmehr hat das Gericht zu prüfen, ob die vorgebrachten Gründe ge- eignet sind, die Abwesenheit zu rechtfertigen oder die eingereichten Belege auf eine willensunabhängige Abwesenheit schliessen lassen (BGer, Urteil 6B_671/2021 vom 26. Oktober 2022 E. 5.2.2 mit Hinweisen). Vorliegend fällt auf, dass die Beschuldigte gemäss der Bestätigung von Dr. med. G.________ vom 16. Oktober 2023 in seiner Sprechstunde vorstellig wurde, dennoch wurden die Arztzeugnisse vom 16. und 17. Oktober 2023 von Dr. med. F.________ ausgestellt. Die Arztzeugnisse vom 16. und 17. Oktober 2023 wurden also von einem Arzt ausgestellt, der die Beschuldigte gar nicht persönlich gesehen und untersucht hatte. Die Beschuldigte erklärt dazu, ihr Hausarzt sei Dr. med. F.________, eine Sprechstunde bei ihm sei aber nicht möglich gewesen, weshalb sie auf Dr. med. G.________ ausgewichen sei (KG-act. 28 S. 2). Auch wenn zutreffen mag, dass Dr. med. F.________ Hausarzt der Beschuldigten ist, so ist dennoch nicht plausibel, weshalb die Zeugnisse nicht durch Dr. med. G.________, in dessen Sprechstunde die Be- schuldigte war, ausgestellt wurden. Ebenso wenig ist nachvollziehbar, dass es Dr. med. G.________ nicht möglich gewesen sein soll, ein Zeugnis auszustel- len, zumal die Beschuldigte als Patientin selber ein solches verlangte. Darüber hinaus geben weder die Arztzeugnisse (KG-act. 19/1 und 24/1) noch die Bestätigung von Dr. med. G.________ (KG-act. 22/1) nähere Auskünfte zum Grund der Verhandlungsunfähigkeit. Zwar bestätigt Dr. med. F.________, die Beschuldigte sei wegen einer Magendarmerkrankung bei Dr. med. G.________ vorstellig geworden (KG-act. 24/1), jedoch hat Dr. med. F.________, wie erwähnt, die Beschuldigte weder persönlich untersucht, noch sind dem Beleg entsprechende Befunde und eine Diagnose zu entnehmen. Somit ist für das Gericht nicht erstellt, dass die von der Beschuldigten geltend gemachte Magendarmerkrankung zu einer Verhandlungsunfähigkeit führte. Darüber hinaus drängen sich auch deshalb Zweifel an der Darstellung der Beschuldigten auf, weil sie am Freitag, 12. Oktober 2023 gegenüber der Ge-</w:t>
      </w:r>
    </w:p>
    <w:p>
      <w:r>
        <w:t>Kantonsgericht Schwyz 6 richtskanzlei sich dahingehend äusserte, innert Kürze keinen Anwalt zu finden und für sie ein alleiniges Auftreten vor Gericht nicht infrage käme, und ande- rerseits von psychischen Schwierigkeiten sprach, es also zumindest unge- wöhnlich erscheint, dass sie kurz darauf an einer Magendarmerkrankung er- krankt sein soll, welche ihr die Teilnahme an der schon seit Februar 2023 feststehenden Berufungsverhandlung verunmöglicht habe. Darauf muss in- dessen nicht weiter eingegangen werden, denn, wie vorstehend ausgeführt, vermögen die eingereichten ärztlichen Unterlagen eine Verhandlungsunfähig- keit so oder so nicht ausreichend glaubhaft zu machen. Folglich wurde die Berufungsverhandlung zu Recht nicht abzitiert bzw. verschoben und die Be- schuldigte blieb dieser unentschuldigt fern, weshalb sie auch die im Zusam- menhang mit der Verhandlung entstanden Kosten zu tragen hat. c) Die Beschuldigte ist gegenüber der Privatklägerin ausserdem entschädigungspflichtig (Art. 433 Abs. 1 lit. a StPO). Der Rechtsvertreter der Privatklägerin machte Honorare von Fr. 1’835.30 geltend (exkl. Zusätzlicher Zeitaufwand für die Teilnahme an der Berufungsverhandlung; KG-act. 26/1). Inwiefern die geltend gemachten Honorare unnötig seien, begründet die Beschuldigte nicht näher. Das pauschal gehaltene Vorbringen, die Privatklägerin habe nichts Neues vorgetragen, vermag daran genauso wenig etwas zu ändern, wie die ihrer Ansicht nach behauptete unnötige Vertretung im Berufungsverfahren. Die Höhe des geltend gemachten Entschädigungsanspruches erscheint angesichts des fortgeschrittenen Verfahrensstadiums und des Umstandes, dass sich der Rechtsvertreter rechtzeitig auf die Berufungsverhandlung vorzubereiten hatte, die Beschuldigte dieser jedoch kurzfristig unentschuldigt fernblieb, jedenfalls nicht unangemessen. In Anwendung von § 13 lit. c GebTRA, wonach der Tarifrahmen im Strafverfahren vor dem Kantonsgericht als Berufungsinstanz Fr. 300.00 bis Fr. 12’000.00 beträgt, sowie in Nachachtung der allgemeinen Bemessungskriterien von § 2 Abs. 1 GebTRA, also namentlich der Wichtigkeit der Streitsache, ihrer Schwierigkeit sowie dem notwendigen Zeitaufwand, und</w:t>
      </w:r>
    </w:p>
    <w:p>
      <w:r>
        <w:t>Kantonsgericht Schwyz 7 unter zusätzlicher Berücksichtigung des Zeitaufwands für die Verhandlung ist die Entschädigung auf pauschal Fr. 2’000.00 festzusetzen (inkl. Spesen und MWST);-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